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A51F8">
      <w:pPr>
        <w:pStyle w:val="5"/>
        <w:keepNext w:val="0"/>
        <w:keepLines w:val="0"/>
        <w:pageBreakBefore w:val="0"/>
        <w:widowControl/>
        <w:shd w:val="clear" w:color="auto" w:fill="auto"/>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jc w:val="both"/>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zh-CN"/>
        </w:rPr>
        <w:t>此合同草案条款，</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rPr>
        <w:t>和</w:t>
      </w:r>
      <w:r>
        <w:rPr>
          <w:rFonts w:hint="eastAsia" w:ascii="仿宋" w:hAnsi="仿宋" w:eastAsia="仿宋" w:cs="仿宋"/>
          <w:b/>
          <w:color w:val="auto"/>
          <w:sz w:val="24"/>
          <w:szCs w:val="24"/>
          <w:highlight w:val="none"/>
          <w:lang w:val="en-US" w:eastAsia="zh-CN"/>
        </w:rPr>
        <w:t>成交供应商</w:t>
      </w:r>
      <w:r>
        <w:rPr>
          <w:rFonts w:hint="eastAsia" w:ascii="仿宋" w:hAnsi="仿宋" w:eastAsia="仿宋" w:cs="仿宋"/>
          <w:b/>
          <w:color w:val="auto"/>
          <w:sz w:val="24"/>
          <w:szCs w:val="24"/>
          <w:highlight w:val="none"/>
          <w:lang w:val="zh-CN"/>
        </w:rPr>
        <w:t>所签订的合同</w:t>
      </w:r>
      <w:r>
        <w:rPr>
          <w:rFonts w:hint="eastAsia" w:ascii="仿宋" w:hAnsi="仿宋" w:eastAsia="仿宋" w:cs="仿宋"/>
          <w:b/>
          <w:color w:val="auto"/>
          <w:sz w:val="24"/>
          <w:szCs w:val="24"/>
          <w:highlight w:val="none"/>
        </w:rPr>
        <w:t>不得对</w:t>
      </w:r>
      <w:r>
        <w:rPr>
          <w:rFonts w:hint="eastAsia" w:ascii="仿宋" w:hAnsi="仿宋" w:eastAsia="仿宋" w:cs="仿宋"/>
          <w:b/>
          <w:color w:val="auto"/>
          <w:sz w:val="24"/>
          <w:szCs w:val="24"/>
          <w:highlight w:val="none"/>
          <w:lang w:val="en-US" w:eastAsia="zh-CN"/>
        </w:rPr>
        <w:t>磋商</w:t>
      </w:r>
      <w:r>
        <w:rPr>
          <w:rFonts w:hint="eastAsia" w:ascii="仿宋" w:hAnsi="仿宋" w:eastAsia="仿宋" w:cs="仿宋"/>
          <w:b/>
          <w:color w:val="auto"/>
          <w:sz w:val="24"/>
          <w:szCs w:val="24"/>
          <w:highlight w:val="none"/>
          <w:lang w:val="zh-CN"/>
        </w:rPr>
        <w:t>文件确定的事项和</w:t>
      </w:r>
      <w:r>
        <w:rPr>
          <w:rFonts w:hint="eastAsia" w:ascii="仿宋" w:hAnsi="仿宋" w:eastAsia="仿宋" w:cs="仿宋"/>
          <w:b/>
          <w:color w:val="auto"/>
          <w:sz w:val="24"/>
          <w:szCs w:val="24"/>
          <w:highlight w:val="none"/>
          <w:lang w:val="en-US" w:eastAsia="zh-CN"/>
        </w:rPr>
        <w:t>成交供应商</w:t>
      </w:r>
      <w:r>
        <w:rPr>
          <w:rFonts w:hint="eastAsia" w:ascii="仿宋" w:hAnsi="仿宋" w:eastAsia="仿宋" w:cs="仿宋"/>
          <w:b/>
          <w:color w:val="auto"/>
          <w:sz w:val="24"/>
          <w:szCs w:val="24"/>
          <w:highlight w:val="none"/>
          <w:lang w:val="zh-CN"/>
        </w:rPr>
        <w:t>的</w:t>
      </w:r>
      <w:r>
        <w:rPr>
          <w:rFonts w:hint="eastAsia" w:ascii="仿宋" w:hAnsi="仿宋" w:eastAsia="仿宋" w:cs="仿宋"/>
          <w:b/>
          <w:color w:val="auto"/>
          <w:sz w:val="24"/>
          <w:szCs w:val="24"/>
          <w:highlight w:val="none"/>
          <w:lang w:val="en-US" w:eastAsia="zh-CN"/>
        </w:rPr>
        <w:t>响应</w:t>
      </w:r>
      <w:bookmarkStart w:id="0" w:name="_GoBack"/>
      <w:bookmarkEnd w:id="0"/>
      <w:r>
        <w:rPr>
          <w:rFonts w:hint="eastAsia" w:ascii="仿宋" w:hAnsi="仿宋" w:eastAsia="仿宋" w:cs="仿宋"/>
          <w:b/>
          <w:color w:val="auto"/>
          <w:sz w:val="24"/>
          <w:szCs w:val="24"/>
          <w:highlight w:val="none"/>
          <w:lang w:val="zh-CN"/>
        </w:rPr>
        <w:t>文件做实质性修改，最终签订的合同以</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lang w:val="zh-CN"/>
        </w:rPr>
        <w:t>确定的合同内容为准。</w:t>
      </w:r>
      <w:r>
        <w:rPr>
          <w:rFonts w:hint="eastAsia" w:ascii="仿宋" w:hAnsi="仿宋" w:eastAsia="仿宋" w:cs="仿宋"/>
          <w:b/>
          <w:color w:val="auto"/>
          <w:sz w:val="24"/>
          <w:szCs w:val="24"/>
          <w:highlight w:val="none"/>
        </w:rPr>
        <w:t>）</w:t>
      </w:r>
    </w:p>
    <w:p w14:paraId="58BBCCEA">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u w:val="single"/>
        </w:rPr>
        <w:t xml:space="preserve">                         </w:t>
      </w:r>
    </w:p>
    <w:p w14:paraId="4AEE936C">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r>
        <w:rPr>
          <w:rFonts w:hint="eastAsia" w:ascii="仿宋" w:hAnsi="仿宋" w:eastAsia="仿宋" w:cs="仿宋"/>
          <w:sz w:val="24"/>
          <w:szCs w:val="24"/>
          <w:highlight w:val="none"/>
          <w:u w:val="single"/>
        </w:rPr>
        <w:t xml:space="preserve">                         </w:t>
      </w:r>
    </w:p>
    <w:p w14:paraId="54AAA13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甲方向乙方就</w:t>
      </w:r>
      <w:r>
        <w:rPr>
          <w:rFonts w:hint="eastAsia" w:ascii="仿宋" w:hAnsi="仿宋" w:eastAsia="仿宋" w:cs="仿宋"/>
          <w:sz w:val="24"/>
          <w:szCs w:val="24"/>
          <w:highlight w:val="none"/>
          <w:u w:val="single"/>
          <w:lang w:val="en-US" w:eastAsia="zh-CN"/>
        </w:rPr>
        <w:t>教师体检服务项目</w:t>
      </w:r>
      <w:r>
        <w:rPr>
          <w:rFonts w:hint="eastAsia" w:ascii="仿宋" w:hAnsi="仿宋" w:eastAsia="仿宋" w:cs="仿宋"/>
          <w:sz w:val="24"/>
          <w:szCs w:val="24"/>
          <w:highlight w:val="none"/>
        </w:rPr>
        <w:t>实施采购，甲、乙双方在自愿的基础上经充分协商，依照《中华人民共和国民法典》及其他有关法律法规的规定，订立本协议。</w:t>
      </w:r>
    </w:p>
    <w:p w14:paraId="2E6E212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第一条 体检服务内容：服务采购的内容、名称、价格详见附件。</w:t>
      </w:r>
    </w:p>
    <w:p w14:paraId="3A8C2D2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第二条 质量要求：乙方提供国家规定标准合格的体检报告。</w:t>
      </w:r>
    </w:p>
    <w:p w14:paraId="78D18F8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第三条 服务地点、时间（期限）进度安排：</w:t>
      </w:r>
    </w:p>
    <w:p w14:paraId="53A430D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（一）服务地点：</w:t>
      </w:r>
      <w:r>
        <w:rPr>
          <w:rFonts w:hint="eastAsia" w:ascii="仿宋" w:hAnsi="仿宋" w:eastAsia="仿宋" w:cs="仿宋"/>
          <w:sz w:val="24"/>
          <w:szCs w:val="24"/>
          <w:highlight w:val="none"/>
          <w:u w:val="single"/>
        </w:rPr>
        <w:t xml:space="preserve">                         </w:t>
      </w:r>
    </w:p>
    <w:p w14:paraId="4DD33E8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（二）时间（期限）：</w:t>
      </w:r>
      <w:r>
        <w:rPr>
          <w:rFonts w:hint="eastAsia" w:ascii="仿宋" w:hAnsi="仿宋" w:eastAsia="仿宋" w:cs="仿宋"/>
          <w:sz w:val="24"/>
          <w:szCs w:val="24"/>
          <w:highlight w:val="none"/>
          <w:u w:val="single"/>
        </w:rPr>
        <w:t xml:space="preserve">    年   月   日至    年  月  日</w:t>
      </w:r>
      <w:r>
        <w:rPr>
          <w:rFonts w:hint="eastAsia" w:ascii="仿宋" w:hAnsi="仿宋" w:eastAsia="仿宋" w:cs="仿宋"/>
          <w:sz w:val="24"/>
          <w:szCs w:val="24"/>
          <w:highlight w:val="none"/>
        </w:rPr>
        <w:t>，体检时间：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至</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，法定节假日除外。如因不可抗力等原因影响不能如期体检的，甲乙双方可另行协商体检时间进行体检。另行体检的，甲方不必再支付体检费用。</w:t>
      </w:r>
    </w:p>
    <w:p w14:paraId="6513B02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（三）集中为主，分散补充。</w:t>
      </w:r>
    </w:p>
    <w:p w14:paraId="45067D0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第四条 验收方法</w:t>
      </w:r>
    </w:p>
    <w:p w14:paraId="24BE94C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以甲方经办人的验收、签认为准。服务质量、数量或时间达不到协议要求，甲方有权提出异议，乙方须在体检工作全部结束后的10 个工作日内，向甲方完成正式体检报告的整理、移交与交接工作。</w:t>
      </w:r>
    </w:p>
    <w:p w14:paraId="2100897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结算</w:t>
      </w:r>
      <w:r>
        <w:rPr>
          <w:rFonts w:hint="eastAsia" w:ascii="仿宋" w:hAnsi="仿宋" w:eastAsia="仿宋" w:cs="仿宋"/>
          <w:sz w:val="24"/>
          <w:szCs w:val="24"/>
          <w:highlight w:val="none"/>
        </w:rPr>
        <w:t>方式</w:t>
      </w:r>
    </w:p>
    <w:p w14:paraId="7FF200BF">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（一）、合同金额</w:t>
      </w:r>
    </w:p>
    <w:p w14:paraId="3717B86A">
      <w:pPr>
        <w:spacing w:line="360" w:lineRule="auto"/>
        <w:ind w:firstLine="480" w:firstLineChars="2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lang w:val="en-US" w:eastAsia="zh-CN"/>
        </w:rPr>
        <w:t>总价：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元</w:t>
      </w:r>
    </w:p>
    <w:p w14:paraId="1DFDC1D0">
      <w:pPr>
        <w:spacing w:line="360" w:lineRule="auto"/>
        <w:ind w:firstLine="480" w:firstLineChars="2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男士体检单价：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元/人</w:t>
      </w:r>
    </w:p>
    <w:p w14:paraId="16E7F2A7">
      <w:pPr>
        <w:spacing w:line="360" w:lineRule="auto"/>
        <w:ind w:firstLine="480" w:firstLineChars="2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已婚女士体检单价：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元/人</w:t>
      </w:r>
    </w:p>
    <w:p w14:paraId="730AC046">
      <w:pP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sz w:val="24"/>
          <w:szCs w:val="24"/>
          <w:highlight w:val="none"/>
          <w:u w:val="none"/>
          <w:lang w:val="en-US" w:eastAsia="zh-CN"/>
        </w:rPr>
        <w:t>未婚女士体</w:t>
      </w:r>
      <w:r>
        <w:rPr>
          <w:rFonts w:hint="eastAsia" w:ascii="仿宋" w:hAnsi="仿宋" w:eastAsia="仿宋" w:cs="仿宋"/>
          <w:color w:val="auto"/>
          <w:sz w:val="24"/>
          <w:szCs w:val="24"/>
          <w:highlight w:val="none"/>
          <w:u w:val="none"/>
          <w:lang w:val="en-US" w:eastAsia="zh-CN"/>
        </w:rPr>
        <w:t>检单价：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元/人</w:t>
      </w:r>
    </w:p>
    <w:p w14:paraId="35B190B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结算</w:t>
      </w:r>
      <w:r>
        <w:rPr>
          <w:rFonts w:hint="eastAsia" w:ascii="仿宋" w:hAnsi="仿宋" w:eastAsia="仿宋" w:cs="仿宋"/>
          <w:color w:val="auto"/>
          <w:sz w:val="24"/>
          <w:szCs w:val="24"/>
          <w:highlight w:val="none"/>
        </w:rPr>
        <w:t>方式</w:t>
      </w:r>
    </w:p>
    <w:p w14:paraId="5936E84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结算价为</w:t>
      </w:r>
      <w:r>
        <w:rPr>
          <w:rFonts w:hint="eastAsia" w:ascii="仿宋" w:hAnsi="仿宋" w:eastAsia="仿宋" w:cs="仿宋"/>
          <w:color w:val="auto"/>
          <w:sz w:val="24"/>
          <w:szCs w:val="24"/>
          <w:highlight w:val="none"/>
          <w:lang w:val="en-US" w:eastAsia="zh-CN"/>
        </w:rPr>
        <w:t>单人成交价</w:t>
      </w:r>
      <w:r>
        <w:rPr>
          <w:rFonts w:hint="eastAsia" w:ascii="仿宋" w:hAnsi="仿宋" w:eastAsia="仿宋" w:cs="仿宋"/>
          <w:color w:val="auto"/>
          <w:sz w:val="24"/>
          <w:szCs w:val="24"/>
          <w:highlight w:val="none"/>
        </w:rPr>
        <w:t>乘以实际体检人数，据实结算，结算价格不得超过预算金额。</w:t>
      </w:r>
    </w:p>
    <w:p w14:paraId="34AF60F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（二）乙方收款信息</w:t>
      </w:r>
    </w:p>
    <w:p w14:paraId="7AA8B9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单位名称：</w:t>
      </w:r>
      <w:r>
        <w:rPr>
          <w:rFonts w:hint="eastAsia" w:ascii="仿宋" w:hAnsi="仿宋" w:eastAsia="仿宋" w:cs="仿宋"/>
          <w:color w:val="auto"/>
          <w:sz w:val="24"/>
          <w:szCs w:val="24"/>
          <w:highlight w:val="none"/>
          <w:u w:val="single"/>
        </w:rPr>
        <w:t xml:space="preserve">                       </w:t>
      </w:r>
    </w:p>
    <w:p w14:paraId="4B979B7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7109EE7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r>
        <w:rPr>
          <w:rFonts w:hint="eastAsia" w:ascii="仿宋" w:hAnsi="仿宋" w:eastAsia="仿宋" w:cs="仿宋"/>
          <w:color w:val="auto"/>
          <w:sz w:val="24"/>
          <w:szCs w:val="24"/>
          <w:highlight w:val="none"/>
          <w:u w:val="single"/>
        </w:rPr>
        <w:t xml:space="preserve">                         </w:t>
      </w:r>
    </w:p>
    <w:p w14:paraId="5720325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w:t>
      </w:r>
    </w:p>
    <w:p w14:paraId="0219614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第六条 付款</w:t>
      </w:r>
      <w:r>
        <w:rPr>
          <w:rFonts w:hint="eastAsia" w:ascii="仿宋" w:hAnsi="仿宋" w:eastAsia="仿宋" w:cs="仿宋"/>
          <w:color w:val="auto"/>
          <w:sz w:val="24"/>
          <w:szCs w:val="24"/>
          <w:highlight w:val="none"/>
        </w:rPr>
        <w:t>方式</w:t>
      </w:r>
    </w:p>
    <w:p w14:paraId="7E9850E3">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付款</w:t>
      </w:r>
      <w:r>
        <w:rPr>
          <w:rFonts w:hint="eastAsia" w:ascii="仿宋" w:hAnsi="仿宋" w:eastAsia="仿宋" w:cs="仿宋"/>
          <w:color w:val="auto"/>
          <w:sz w:val="24"/>
          <w:szCs w:val="24"/>
          <w:highlight w:val="none"/>
        </w:rPr>
        <w:t>单位：</w:t>
      </w:r>
      <w:r>
        <w:rPr>
          <w:rFonts w:hint="eastAsia" w:ascii="仿宋" w:hAnsi="仿宋" w:eastAsia="仿宋" w:cs="仿宋"/>
          <w:i w:val="0"/>
          <w:iCs w:val="0"/>
          <w:caps w:val="0"/>
          <w:color w:val="auto"/>
          <w:spacing w:val="0"/>
          <w:sz w:val="24"/>
          <w:szCs w:val="24"/>
          <w:shd w:val="clear" w:fill="FFFFFF"/>
        </w:rPr>
        <w:t>所有人员体检完成且乙方出具体检结果并经甲方确认后，</w:t>
      </w:r>
      <w:r>
        <w:rPr>
          <w:rFonts w:hint="eastAsia" w:ascii="仿宋" w:hAnsi="仿宋" w:eastAsia="仿宋" w:cs="仿宋"/>
          <w:i w:val="0"/>
          <w:iCs w:val="0"/>
          <w:caps w:val="0"/>
          <w:color w:val="auto"/>
          <w:spacing w:val="0"/>
          <w:sz w:val="24"/>
          <w:szCs w:val="24"/>
          <w:shd w:val="clear" w:fill="FFFFFF"/>
          <w:lang w:val="en-US" w:eastAsia="zh-CN"/>
        </w:rPr>
        <w:t>甲方根据实际体检人数据实结算</w:t>
      </w:r>
      <w:r>
        <w:rPr>
          <w:rFonts w:hint="eastAsia" w:ascii="仿宋" w:hAnsi="仿宋" w:eastAsia="仿宋" w:cs="仿宋"/>
          <w:i w:val="0"/>
          <w:iCs w:val="0"/>
          <w:caps w:val="0"/>
          <w:color w:val="auto"/>
          <w:spacing w:val="0"/>
          <w:sz w:val="24"/>
          <w:szCs w:val="24"/>
          <w:shd w:val="clear" w:fill="FFFFFF"/>
        </w:rPr>
        <w:t>，达到付款条件起30</w:t>
      </w:r>
      <w:r>
        <w:rPr>
          <w:rFonts w:hint="eastAsia" w:ascii="仿宋" w:hAnsi="仿宋" w:eastAsia="仿宋" w:cs="仿宋"/>
          <w:i w:val="0"/>
          <w:iCs w:val="0"/>
          <w:caps w:val="0"/>
          <w:color w:val="auto"/>
          <w:spacing w:val="0"/>
          <w:sz w:val="24"/>
          <w:szCs w:val="24"/>
          <w:shd w:val="clear" w:fill="FFFFFF"/>
          <w:lang w:val="en-US" w:eastAsia="zh-CN"/>
        </w:rPr>
        <w:t>个工作</w:t>
      </w:r>
      <w:r>
        <w:rPr>
          <w:rFonts w:hint="eastAsia" w:ascii="仿宋" w:hAnsi="仿宋" w:eastAsia="仿宋" w:cs="仿宋"/>
          <w:i w:val="0"/>
          <w:iCs w:val="0"/>
          <w:caps w:val="0"/>
          <w:color w:val="auto"/>
          <w:spacing w:val="0"/>
          <w:sz w:val="24"/>
          <w:szCs w:val="24"/>
          <w:shd w:val="clear" w:fill="FFFFFF"/>
        </w:rPr>
        <w:t>日</w:t>
      </w:r>
      <w:r>
        <w:rPr>
          <w:rFonts w:hint="eastAsia" w:ascii="仿宋" w:hAnsi="仿宋" w:eastAsia="仿宋" w:cs="仿宋"/>
          <w:i w:val="0"/>
          <w:iCs w:val="0"/>
          <w:caps w:val="0"/>
          <w:color w:val="auto"/>
          <w:spacing w:val="0"/>
          <w:sz w:val="24"/>
          <w:szCs w:val="24"/>
          <w:shd w:val="clear" w:fill="FFFFFF"/>
          <w:lang w:val="en-US" w:eastAsia="zh-CN"/>
        </w:rPr>
        <w:t>内</w:t>
      </w:r>
      <w:r>
        <w:rPr>
          <w:rFonts w:hint="eastAsia" w:ascii="仿宋" w:hAnsi="仿宋" w:eastAsia="仿宋" w:cs="仿宋"/>
          <w:i w:val="0"/>
          <w:iCs w:val="0"/>
          <w:caps w:val="0"/>
          <w:color w:val="auto"/>
          <w:spacing w:val="0"/>
          <w:sz w:val="24"/>
          <w:szCs w:val="24"/>
          <w:shd w:val="clear" w:fill="FFFFFF"/>
        </w:rPr>
        <w:t>，</w:t>
      </w:r>
      <w:r>
        <w:rPr>
          <w:rFonts w:hint="eastAsia" w:ascii="仿宋" w:hAnsi="仿宋" w:eastAsia="仿宋" w:cs="仿宋"/>
          <w:color w:val="auto"/>
          <w:sz w:val="24"/>
          <w:shd w:val="clear" w:fill="FFFFFF"/>
          <w:lang w:val="en-US" w:eastAsia="zh-CN"/>
        </w:rPr>
        <w:t>支付体检费用</w:t>
      </w:r>
      <w:r>
        <w:rPr>
          <w:rFonts w:hint="eastAsia" w:ascii="仿宋" w:hAnsi="仿宋" w:eastAsia="仿宋" w:cs="仿宋"/>
          <w:i w:val="0"/>
          <w:iCs w:val="0"/>
          <w:caps w:val="0"/>
          <w:color w:val="auto"/>
          <w:spacing w:val="0"/>
          <w:sz w:val="24"/>
          <w:szCs w:val="24"/>
          <w:shd w:val="clear" w:fill="FFFFFF"/>
        </w:rPr>
        <w:t>的</w:t>
      </w:r>
      <w:r>
        <w:rPr>
          <w:rFonts w:hint="eastAsia" w:ascii="仿宋" w:hAnsi="仿宋" w:eastAsia="仿宋" w:cs="仿宋"/>
          <w:i w:val="0"/>
          <w:iCs w:val="0"/>
          <w:caps w:val="0"/>
          <w:color w:val="auto"/>
          <w:spacing w:val="0"/>
          <w:sz w:val="24"/>
          <w:szCs w:val="24"/>
          <w:shd w:val="clear" w:fill="FFFFFF"/>
          <w:lang w:val="en-US" w:eastAsia="zh-CN"/>
        </w:rPr>
        <w:t>100.00</w:t>
      </w:r>
      <w:r>
        <w:rPr>
          <w:rFonts w:hint="eastAsia" w:ascii="仿宋" w:hAnsi="仿宋" w:eastAsia="仿宋" w:cs="仿宋"/>
          <w:i w:val="0"/>
          <w:iCs w:val="0"/>
          <w:caps w:val="0"/>
          <w:color w:val="auto"/>
          <w:spacing w:val="0"/>
          <w:sz w:val="24"/>
          <w:szCs w:val="24"/>
          <w:shd w:val="clear" w:fill="FFFFFF"/>
        </w:rPr>
        <w:t>%。</w:t>
      </w:r>
    </w:p>
    <w:p w14:paraId="326AC55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3）合同签订后，如乙方的门市价有变动，合同中约定的体检项目及费用保持不变。</w:t>
      </w:r>
    </w:p>
    <w:p w14:paraId="07066EF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第七条 甲方权利和责任</w:t>
      </w:r>
    </w:p>
    <w:p w14:paraId="553480F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（一）甲方权利</w:t>
      </w:r>
    </w:p>
    <w:p w14:paraId="24B3698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1.提出服务要求：乙方必须按照双方协商后确定的体检项目进行体</w:t>
      </w:r>
      <w:r>
        <w:rPr>
          <w:rFonts w:hint="eastAsia" w:ascii="仿宋" w:hAnsi="仿宋" w:eastAsia="仿宋" w:cs="仿宋"/>
          <w:sz w:val="24"/>
          <w:szCs w:val="24"/>
          <w:highlight w:val="none"/>
        </w:rPr>
        <w:t>检，体检地点为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，体检结果提供专人负责讲解。</w:t>
      </w:r>
    </w:p>
    <w:p w14:paraId="4C22BF3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2.若甲方员工在约定体检项目外，需要增加其他体检项目时，乙方应当予以协调安排，并给予常规项目（CT、核磁、胃肠镜等除外）8折优惠，费用由甲方员工自付。</w:t>
      </w:r>
    </w:p>
    <w:p w14:paraId="5DB3E34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3.若甲方员工家属同时参加体检，并和甲方套餐项目一致，享受甲方团体优惠价。</w:t>
      </w:r>
    </w:p>
    <w:p w14:paraId="77D3F49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4.甲方有权利保护员工身体健康状况方面的个人隐私，并要求乙方予以保密。</w:t>
      </w:r>
    </w:p>
    <w:p w14:paraId="4FBF577F">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5.甲方对乙方履行体检服务合同中不当处可提出质疑、批评，并要求及时改</w:t>
      </w:r>
      <w:r>
        <w:rPr>
          <w:rFonts w:hint="eastAsia" w:ascii="仿宋" w:hAnsi="仿宋" w:eastAsia="仿宋" w:cs="仿宋"/>
          <w:sz w:val="24"/>
          <w:szCs w:val="24"/>
          <w:highlight w:val="none"/>
          <w:lang w:val="en-US" w:eastAsia="zh-CN"/>
        </w:rPr>
        <w:t>正。</w:t>
      </w:r>
    </w:p>
    <w:p w14:paraId="4E5FFD2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（二）甲方责任</w:t>
      </w:r>
    </w:p>
    <w:p w14:paraId="2804AF7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1.按照乙方提供的对公账号及时办理体检付款手续；</w:t>
      </w:r>
    </w:p>
    <w:p w14:paraId="529E0FD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2.甲方负责体检人员的组织工作，并将参加体检人员的名单包含姓名、性别、年龄、婚否、身份证号码、电话号码，以电子表格形式于体检前 7 天报给乙方，否则，乙方有权拒绝任何人以甲方员工名义要求体检。</w:t>
      </w:r>
    </w:p>
    <w:p w14:paraId="22AA2E03">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3.甲方员工个人如有特殊饮食习惯和要求，应在向乙方提供的资料中予以注</w:t>
      </w:r>
      <w:r>
        <w:rPr>
          <w:rFonts w:hint="eastAsia" w:ascii="仿宋" w:hAnsi="仿宋" w:eastAsia="仿宋" w:cs="仿宋"/>
          <w:sz w:val="24"/>
          <w:szCs w:val="24"/>
          <w:highlight w:val="none"/>
          <w:lang w:val="en-US" w:eastAsia="zh-CN"/>
        </w:rPr>
        <w:t>明。</w:t>
      </w:r>
    </w:p>
    <w:p w14:paraId="3E1F0FF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第八条 乙方权利和责任</w:t>
      </w:r>
    </w:p>
    <w:p w14:paraId="7B218E0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（一）乙方权利</w:t>
      </w:r>
    </w:p>
    <w:p w14:paraId="2697F2C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按照协议约定据实结算收取体检服务费，人员数量和项目发生变动时，双方根据实际体检人数确认后进行结算，结算价格不得超过预算金额。</w:t>
      </w:r>
    </w:p>
    <w:p w14:paraId="210AF1F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（二）乙方责任和提供的服务</w:t>
      </w:r>
    </w:p>
    <w:p w14:paraId="11B785D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按甲方员工确定的体检项目安排体检，乙方保证体检设备处于良好工作状态，在体检过程中，乙方应按国家规定的标准和流程为甲方员工安排体检服务，对于体检过程中发现的甲方员工的疾病、隐患，乙方应在体检报告中予以充分的说明。</w:t>
      </w:r>
    </w:p>
    <w:p w14:paraId="1683A1F3">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2.体检结束后提供早餐</w:t>
      </w:r>
      <w:r>
        <w:rPr>
          <w:rFonts w:hint="eastAsia" w:ascii="仿宋" w:hAnsi="仿宋" w:eastAsia="仿宋" w:cs="仿宋"/>
          <w:sz w:val="24"/>
          <w:szCs w:val="24"/>
          <w:highlight w:val="none"/>
          <w:lang w:eastAsia="zh-CN"/>
        </w:rPr>
        <w:t>。</w:t>
      </w:r>
    </w:p>
    <w:p w14:paraId="3AD690A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3.出具内容及方式：乙方应将正规的体检报告打印版返还给甲方。</w:t>
      </w:r>
    </w:p>
    <w:p w14:paraId="330F1FA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4.甲方员工因特殊情况不能做的检查项目，乙方应予以等价调换成员工需求的项目。</w:t>
      </w:r>
    </w:p>
    <w:p w14:paraId="6BC6506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乙方应当尽力注意甲方员工体检时的体验满意度，尽量为甲方员工提供一个安全、舒适、绿色、高效、贴心、人性化的体检环境。甲方有权利将甲方员工对本次体检的评价内容和主观感受反馈至乙方，并作为下一年度是否再次聘请乙方作为甲方体检机构的参考标准之一。</w:t>
      </w:r>
    </w:p>
    <w:p w14:paraId="634DD7D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6.乙方为甲方提供免费车接送服务，按照约定时间和地点准时发车，确保交通安全。</w:t>
      </w:r>
    </w:p>
    <w:p w14:paraId="0EB0FC5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7.体检结束后，乙方免费上门为甲方提供报告解读或健康讲座一次。</w:t>
      </w:r>
    </w:p>
    <w:p w14:paraId="753B9F3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8.除甲方指定体检负责人外，乙方不得向第三方提供涉及甲方受检员工的任何信息资料或体检报告内容。</w:t>
      </w:r>
    </w:p>
    <w:p w14:paraId="3857401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第九条</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合同补充、变更和合同终止:</w:t>
      </w:r>
    </w:p>
    <w:p w14:paraId="7089BD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(一)合同补充、变更:</w:t>
      </w:r>
    </w:p>
    <w:p w14:paraId="0F38506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合同如需补充、变更，经双方协商一致，可作书面补充合同。补充合同作为本合同组成部分，具有同等法律效力。</w:t>
      </w:r>
    </w:p>
    <w:p w14:paraId="5BC439F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(二)合同终止:</w:t>
      </w:r>
    </w:p>
    <w:p w14:paraId="7CE513D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1.双方履约结束，合同终止。</w:t>
      </w:r>
    </w:p>
    <w:p w14:paraId="044C277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2.经双方协商一致，可以提前终止合同。</w:t>
      </w:r>
    </w:p>
    <w:p w14:paraId="09D6FFD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(三)在合同履行中，乙方有下列情形之一的，甲方有权单方解除合同，并可要求乙方退还预付体检费:</w:t>
      </w:r>
    </w:p>
    <w:p w14:paraId="34582FF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1.乙方无正当理由而停止向甲方继续提供服务的。</w:t>
      </w:r>
    </w:p>
    <w:p w14:paraId="454E474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2.乙方未经甲方同意，擅自变更服务内容或提高收费标准、降低服务质量。</w:t>
      </w:r>
    </w:p>
    <w:p w14:paraId="199A855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第十条</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其他</w:t>
      </w:r>
    </w:p>
    <w:p w14:paraId="61260A3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1.乙方不得将其在协议中的任何义务全部或部分转让、分包给第三方，否则甲方有权单方解除本协议。</w:t>
      </w:r>
    </w:p>
    <w:p w14:paraId="4E231EE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2.本协议签订后，任何一方违约，须向对方承担违约责任，违约金数额为体检总金额的</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%，违约金不足以弥补损失的，守约方有权进行追偿。</w:t>
      </w:r>
    </w:p>
    <w:p w14:paraId="1CB7C09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第十一条 不可抗力</w:t>
      </w:r>
    </w:p>
    <w:p w14:paraId="6550747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乙双方的任何一方由于不可抗力的原因不能履行协议时，应及时向对方通报不能履行或不能完全履行的理由，以减轻可能给对方造成的损失，在取得有关机构证明以后，允许延期履行、部分履行或者不履行协议，并根据情况可部分或全部免予承担违约责任。本协议在履行过程中发生争议的应先协商解决，协商不成的应提交西安仲裁委员会仲裁。</w:t>
      </w:r>
    </w:p>
    <w:p w14:paraId="6E96AEC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第十二条 未尽事宜，经双方协商达成补充协议，作为附件，与本协议具有同等法律效力。</w:t>
      </w:r>
    </w:p>
    <w:p w14:paraId="6536B0B2">
      <w:pPr>
        <w:adjustRightInd w:val="0"/>
        <w:snapToGrid w:val="0"/>
        <w:spacing w:line="360" w:lineRule="auto"/>
        <w:ind w:left="239" w:leftChars="114"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第十三条 本协议一式肆份，甲方执贰份，乙方执贰份，各具同等法律效力，自甲、乙双方签字并盖章之日起生效。（正文</w:t>
      </w:r>
      <w:r>
        <w:rPr>
          <w:rFonts w:hint="eastAsia" w:ascii="仿宋" w:hAnsi="仿宋" w:eastAsia="仿宋" w:cs="仿宋"/>
          <w:sz w:val="24"/>
          <w:szCs w:val="24"/>
          <w:highlight w:val="none"/>
          <w:lang w:val="en-US" w:eastAsia="zh-CN"/>
        </w:rPr>
        <w:t>完</w:t>
      </w:r>
      <w:r>
        <w:rPr>
          <w:rFonts w:hint="eastAsia" w:ascii="仿宋" w:hAnsi="仿宋" w:eastAsia="仿宋" w:cs="仿宋"/>
          <w:sz w:val="24"/>
          <w:szCs w:val="24"/>
          <w:highlight w:val="none"/>
        </w:rPr>
        <w:t>）</w:t>
      </w:r>
    </w:p>
    <w:tbl>
      <w:tblPr>
        <w:tblStyle w:val="6"/>
        <w:tblW w:w="0" w:type="auto"/>
        <w:tblInd w:w="0" w:type="dxa"/>
        <w:tblLayout w:type="autofit"/>
        <w:tblCellMar>
          <w:top w:w="0" w:type="dxa"/>
          <w:left w:w="108" w:type="dxa"/>
          <w:bottom w:w="0" w:type="dxa"/>
          <w:right w:w="108" w:type="dxa"/>
        </w:tblCellMar>
      </w:tblPr>
      <w:tblGrid>
        <w:gridCol w:w="4585"/>
        <w:gridCol w:w="3954"/>
      </w:tblGrid>
      <w:tr w14:paraId="40EF0324">
        <w:tblPrEx>
          <w:tblCellMar>
            <w:top w:w="0" w:type="dxa"/>
            <w:left w:w="108" w:type="dxa"/>
            <w:bottom w:w="0" w:type="dxa"/>
            <w:right w:w="108" w:type="dxa"/>
          </w:tblCellMar>
        </w:tblPrEx>
        <w:trPr>
          <w:trHeight w:val="534" w:hRule="atLeast"/>
        </w:trPr>
        <w:tc>
          <w:tcPr>
            <w:tcW w:w="4585" w:type="dxa"/>
            <w:noWrap w:val="0"/>
            <w:vAlign w:val="top"/>
          </w:tcPr>
          <w:p w14:paraId="6500CA5E">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r>
              <w:rPr>
                <w:rFonts w:hint="eastAsia" w:ascii="仿宋" w:hAnsi="仿宋" w:eastAsia="仿宋" w:cs="仿宋"/>
                <w:sz w:val="24"/>
                <w:szCs w:val="24"/>
                <w:highlight w:val="none"/>
              </w:rPr>
              <w:t>甲方：</w:t>
            </w:r>
          </w:p>
        </w:tc>
        <w:tc>
          <w:tcPr>
            <w:tcW w:w="3954" w:type="dxa"/>
            <w:noWrap w:val="0"/>
            <w:vAlign w:val="top"/>
          </w:tcPr>
          <w:p w14:paraId="067BABEE">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tc>
      </w:tr>
      <w:tr w14:paraId="69A74605">
        <w:tblPrEx>
          <w:tblCellMar>
            <w:top w:w="0" w:type="dxa"/>
            <w:left w:w="108" w:type="dxa"/>
            <w:bottom w:w="0" w:type="dxa"/>
            <w:right w:w="108" w:type="dxa"/>
          </w:tblCellMar>
        </w:tblPrEx>
        <w:trPr>
          <w:trHeight w:val="534" w:hRule="atLeast"/>
        </w:trPr>
        <w:tc>
          <w:tcPr>
            <w:tcW w:w="4585" w:type="dxa"/>
            <w:noWrap w:val="0"/>
            <w:vAlign w:val="top"/>
          </w:tcPr>
          <w:p w14:paraId="0FE7B63B">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3954" w:type="dxa"/>
            <w:noWrap w:val="0"/>
            <w:vAlign w:val="top"/>
          </w:tcPr>
          <w:p w14:paraId="0820F65E">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r>
      <w:tr w14:paraId="5181F438">
        <w:tblPrEx>
          <w:tblCellMar>
            <w:top w:w="0" w:type="dxa"/>
            <w:left w:w="108" w:type="dxa"/>
            <w:bottom w:w="0" w:type="dxa"/>
            <w:right w:w="108" w:type="dxa"/>
          </w:tblCellMar>
        </w:tblPrEx>
        <w:trPr>
          <w:trHeight w:val="534" w:hRule="atLeast"/>
        </w:trPr>
        <w:tc>
          <w:tcPr>
            <w:tcW w:w="4585" w:type="dxa"/>
            <w:noWrap w:val="0"/>
            <w:vAlign w:val="top"/>
          </w:tcPr>
          <w:p w14:paraId="60AA4D4F">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授权代表：</w:t>
            </w:r>
          </w:p>
        </w:tc>
        <w:tc>
          <w:tcPr>
            <w:tcW w:w="3954" w:type="dxa"/>
            <w:noWrap w:val="0"/>
            <w:vAlign w:val="top"/>
          </w:tcPr>
          <w:p w14:paraId="5E0D89F5">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授权代表：</w:t>
            </w:r>
          </w:p>
        </w:tc>
      </w:tr>
      <w:tr w14:paraId="73A1A714">
        <w:tblPrEx>
          <w:tblCellMar>
            <w:top w:w="0" w:type="dxa"/>
            <w:left w:w="108" w:type="dxa"/>
            <w:bottom w:w="0" w:type="dxa"/>
            <w:right w:w="108" w:type="dxa"/>
          </w:tblCellMar>
        </w:tblPrEx>
        <w:trPr>
          <w:trHeight w:val="534" w:hRule="atLeast"/>
        </w:trPr>
        <w:tc>
          <w:tcPr>
            <w:tcW w:w="4585" w:type="dxa"/>
            <w:noWrap w:val="0"/>
            <w:vAlign w:val="top"/>
          </w:tcPr>
          <w:p w14:paraId="743A1BFE">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电话： </w:t>
            </w:r>
          </w:p>
        </w:tc>
        <w:tc>
          <w:tcPr>
            <w:tcW w:w="3954" w:type="dxa"/>
            <w:noWrap w:val="0"/>
            <w:vAlign w:val="top"/>
          </w:tcPr>
          <w:p w14:paraId="5F7EC6BB">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r>
      <w:tr w14:paraId="42E5E89A">
        <w:tblPrEx>
          <w:tblCellMar>
            <w:top w:w="0" w:type="dxa"/>
            <w:left w:w="108" w:type="dxa"/>
            <w:bottom w:w="0" w:type="dxa"/>
            <w:right w:w="108" w:type="dxa"/>
          </w:tblCellMar>
        </w:tblPrEx>
        <w:trPr>
          <w:trHeight w:val="534" w:hRule="atLeast"/>
        </w:trPr>
        <w:tc>
          <w:tcPr>
            <w:tcW w:w="4585" w:type="dxa"/>
            <w:noWrap w:val="0"/>
            <w:vAlign w:val="top"/>
          </w:tcPr>
          <w:p w14:paraId="6A707C14">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3954" w:type="dxa"/>
            <w:noWrap w:val="0"/>
            <w:vAlign w:val="top"/>
          </w:tcPr>
          <w:p w14:paraId="0417B71D">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r>
      <w:tr w14:paraId="22CDB65C">
        <w:tblPrEx>
          <w:tblCellMar>
            <w:top w:w="0" w:type="dxa"/>
            <w:left w:w="108" w:type="dxa"/>
            <w:bottom w:w="0" w:type="dxa"/>
            <w:right w:w="108" w:type="dxa"/>
          </w:tblCellMar>
        </w:tblPrEx>
        <w:trPr>
          <w:trHeight w:val="606" w:hRule="atLeast"/>
        </w:trPr>
        <w:tc>
          <w:tcPr>
            <w:tcW w:w="4585" w:type="dxa"/>
            <w:noWrap w:val="0"/>
            <w:vAlign w:val="top"/>
          </w:tcPr>
          <w:p w14:paraId="5CE3E1F1">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c>
          <w:tcPr>
            <w:tcW w:w="3954" w:type="dxa"/>
            <w:noWrap w:val="0"/>
            <w:vAlign w:val="top"/>
          </w:tcPr>
          <w:p w14:paraId="2890CED7">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r>
      <w:tr w14:paraId="6877B736">
        <w:tblPrEx>
          <w:tblCellMar>
            <w:top w:w="0" w:type="dxa"/>
            <w:left w:w="108" w:type="dxa"/>
            <w:bottom w:w="0" w:type="dxa"/>
            <w:right w:w="108" w:type="dxa"/>
          </w:tblCellMar>
        </w:tblPrEx>
        <w:trPr>
          <w:trHeight w:val="534" w:hRule="atLeast"/>
        </w:trPr>
        <w:tc>
          <w:tcPr>
            <w:tcW w:w="4585" w:type="dxa"/>
            <w:noWrap w:val="0"/>
            <w:vAlign w:val="top"/>
          </w:tcPr>
          <w:p w14:paraId="424E0192">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c>
          <w:tcPr>
            <w:tcW w:w="3954" w:type="dxa"/>
            <w:noWrap w:val="0"/>
            <w:vAlign w:val="top"/>
          </w:tcPr>
          <w:p w14:paraId="14C3B32B">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r>
      <w:tr w14:paraId="61659C7D">
        <w:tblPrEx>
          <w:tblCellMar>
            <w:top w:w="0" w:type="dxa"/>
            <w:left w:w="108" w:type="dxa"/>
            <w:bottom w:w="0" w:type="dxa"/>
            <w:right w:w="108" w:type="dxa"/>
          </w:tblCellMar>
        </w:tblPrEx>
        <w:trPr>
          <w:trHeight w:val="534" w:hRule="atLeast"/>
        </w:trPr>
        <w:tc>
          <w:tcPr>
            <w:tcW w:w="4585" w:type="dxa"/>
            <w:noWrap w:val="0"/>
            <w:vAlign w:val="top"/>
          </w:tcPr>
          <w:p w14:paraId="12C38FD5">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tc>
        <w:tc>
          <w:tcPr>
            <w:tcW w:w="3954" w:type="dxa"/>
            <w:noWrap w:val="0"/>
            <w:vAlign w:val="top"/>
          </w:tcPr>
          <w:p w14:paraId="32DF9C54">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tc>
      </w:tr>
    </w:tbl>
    <w:p w14:paraId="6B95B305">
      <w:pPr>
        <w:rPr>
          <w:rFonts w:hint="eastAsia" w:ascii="仿宋" w:hAnsi="仿宋" w:eastAsia="仿宋" w:cs="仿宋"/>
        </w:rPr>
      </w:pPr>
    </w:p>
    <w:p w14:paraId="6E820243"/>
    <w:p w14:paraId="360C4DF5"/>
    <w:p w14:paraId="748D2B01"/>
    <w:p w14:paraId="47F7957E"/>
    <w:p w14:paraId="686C0CC4"/>
    <w:p w14:paraId="69F10175"/>
    <w:p w14:paraId="2465E1AC">
      <w:pPr>
        <w:pStyle w:val="2"/>
      </w:pPr>
    </w:p>
    <w:p w14:paraId="2BB0A878"/>
    <w:p w14:paraId="20B965E5">
      <w:pPr>
        <w:pStyle w:val="2"/>
      </w:pPr>
    </w:p>
    <w:p w14:paraId="35C4B7D4"/>
    <w:p w14:paraId="70F611BD">
      <w:pPr>
        <w:pStyle w:val="2"/>
      </w:pPr>
    </w:p>
    <w:p w14:paraId="29B521DC"/>
    <w:p w14:paraId="75F013B2">
      <w:pPr>
        <w:pStyle w:val="2"/>
      </w:pPr>
    </w:p>
    <w:p w14:paraId="25A0574C"/>
    <w:p w14:paraId="499242FB">
      <w:pPr>
        <w:pStyle w:val="2"/>
      </w:pPr>
    </w:p>
    <w:p w14:paraId="43FF2E44"/>
    <w:p w14:paraId="0BD5A869">
      <w:pPr>
        <w:pStyle w:val="2"/>
      </w:pPr>
    </w:p>
    <w:p w14:paraId="2943202B"/>
    <w:p w14:paraId="0C649790">
      <w:pPr>
        <w:keepNext/>
        <w:widowControl/>
        <w:snapToGrid w:val="0"/>
        <w:jc w:val="both"/>
        <w:textAlignment w:val="center"/>
        <w:rPr>
          <w:rFonts w:hint="eastAsia" w:ascii="仿宋" w:hAnsi="仿宋" w:eastAsia="仿宋" w:cs="仿宋"/>
          <w:color w:val="000000"/>
          <w:kern w:val="0"/>
          <w:sz w:val="24"/>
          <w:u w:val="none"/>
          <w:lang w:val="en-US" w:eastAsia="zh-CN" w:bidi="ar"/>
        </w:rPr>
      </w:pPr>
      <w:r>
        <w:rPr>
          <w:rFonts w:hint="eastAsia" w:ascii="仿宋" w:hAnsi="仿宋" w:eastAsia="仿宋" w:cs="仿宋"/>
          <w:color w:val="000000"/>
          <w:kern w:val="0"/>
          <w:sz w:val="24"/>
          <w:u w:val="none"/>
          <w:lang w:val="en-US" w:eastAsia="zh-CN" w:bidi="ar"/>
        </w:rPr>
        <w:t>附件：</w:t>
      </w:r>
    </w:p>
    <w:p w14:paraId="535CAC60">
      <w:pPr>
        <w:keepNext/>
        <w:widowControl/>
        <w:snapToGrid w:val="0"/>
        <w:jc w:val="center"/>
        <w:textAlignment w:val="center"/>
        <w:rPr>
          <w:rFonts w:hint="eastAsia" w:ascii="仿宋" w:hAnsi="仿宋" w:eastAsia="仿宋" w:cs="仿宋"/>
          <w:b/>
          <w:bCs/>
          <w:color w:val="000000"/>
          <w:kern w:val="0"/>
          <w:sz w:val="24"/>
          <w:u w:val="none"/>
          <w:lang w:val="en-US" w:eastAsia="zh-CN" w:bidi="ar"/>
        </w:rPr>
      </w:pPr>
      <w:r>
        <w:rPr>
          <w:rFonts w:hint="eastAsia" w:ascii="仿宋" w:hAnsi="仿宋" w:eastAsia="仿宋" w:cs="仿宋"/>
          <w:b/>
          <w:bCs/>
          <w:color w:val="000000"/>
          <w:kern w:val="0"/>
          <w:sz w:val="24"/>
          <w:u w:val="none"/>
          <w:lang w:val="en-US" w:eastAsia="zh-CN" w:bidi="ar"/>
        </w:rPr>
        <w:t>体检项目及费用明细表</w:t>
      </w:r>
    </w:p>
    <w:tbl>
      <w:tblPr>
        <w:tblStyle w:val="6"/>
        <w:tblpPr w:leftFromText="180" w:rightFromText="180" w:vertAnchor="text" w:horzAnchor="page" w:tblpX="1069" w:tblpY="70"/>
        <w:tblOverlap w:val="never"/>
        <w:tblW w:w="940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44"/>
        <w:gridCol w:w="2718"/>
        <w:gridCol w:w="1557"/>
        <w:gridCol w:w="1706"/>
        <w:gridCol w:w="1682"/>
      </w:tblGrid>
      <w:tr w14:paraId="50EC4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6" w:hRule="atLeast"/>
        </w:trPr>
        <w:tc>
          <w:tcPr>
            <w:tcW w:w="1744" w:type="dxa"/>
            <w:tcBorders>
              <w:top w:val="single" w:color="000000" w:sz="4" w:space="0"/>
              <w:left w:val="single" w:color="000000" w:sz="4" w:space="0"/>
              <w:bottom w:val="nil"/>
              <w:right w:val="single" w:color="000000" w:sz="4" w:space="0"/>
            </w:tcBorders>
            <w:shd w:val="clear" w:color="auto" w:fill="FFFFFF"/>
            <w:vAlign w:val="center"/>
          </w:tcPr>
          <w:p w14:paraId="0B64433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检查类别</w:t>
            </w: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4BE09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体检项目</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818286">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bCs/>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男士体检单价（元/人）</w:t>
            </w: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4CC9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已婚女士体检单价（元/人）</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723BB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未婚女士体检单价（元/人）</w:t>
            </w:r>
          </w:p>
        </w:tc>
      </w:tr>
      <w:tr w14:paraId="38441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744" w:type="dxa"/>
            <w:tcBorders>
              <w:top w:val="single" w:color="000000" w:sz="4" w:space="0"/>
              <w:left w:val="single" w:color="000000" w:sz="4" w:space="0"/>
              <w:bottom w:val="nil"/>
              <w:right w:val="single" w:color="000000" w:sz="4" w:space="0"/>
            </w:tcBorders>
            <w:shd w:val="clear" w:color="auto" w:fill="FFFFFF"/>
            <w:vAlign w:val="center"/>
          </w:tcPr>
          <w:p w14:paraId="7F19DBE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临床科室检查</w:t>
            </w: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66047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一般检查</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FB659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AC46BE">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BBE5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4F821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restart"/>
            <w:tcBorders>
              <w:top w:val="single" w:color="000000" w:sz="4" w:space="0"/>
              <w:left w:val="single" w:color="000000" w:sz="4" w:space="0"/>
              <w:bottom w:val="nil"/>
              <w:right w:val="single" w:color="000000" w:sz="4" w:space="0"/>
            </w:tcBorders>
            <w:shd w:val="clear" w:color="auto" w:fill="FFFFFF"/>
            <w:vAlign w:val="center"/>
          </w:tcPr>
          <w:p w14:paraId="1C4ED5F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妇科检查（已婚女性）</w:t>
            </w: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BE4C2E">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妇科常规+白带常规</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03F58">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CA3A4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781D96">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r>
      <w:tr w14:paraId="3C652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continue"/>
            <w:tcBorders>
              <w:top w:val="single" w:color="000000" w:sz="4" w:space="0"/>
              <w:left w:val="single" w:color="000000" w:sz="4" w:space="0"/>
              <w:bottom w:val="nil"/>
              <w:right w:val="single" w:color="000000" w:sz="4" w:space="0"/>
            </w:tcBorders>
            <w:shd w:val="clear" w:color="auto" w:fill="FFFFFF"/>
            <w:vAlign w:val="center"/>
          </w:tcPr>
          <w:p w14:paraId="05BA963E">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809A61">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宫颈液基薄层细胞学检查</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BB24D6">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846F0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8D1637">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r>
      <w:tr w14:paraId="4D4B6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restart"/>
            <w:tcBorders>
              <w:top w:val="single" w:color="000000" w:sz="4" w:space="0"/>
              <w:left w:val="single" w:color="000000" w:sz="4" w:space="0"/>
              <w:bottom w:val="nil"/>
              <w:right w:val="single" w:color="000000" w:sz="4" w:space="0"/>
            </w:tcBorders>
            <w:shd w:val="clear" w:color="auto" w:fill="FFFFFF"/>
            <w:vAlign w:val="center"/>
          </w:tcPr>
          <w:p w14:paraId="2FA1335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实验室检查</w:t>
            </w: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A30FD7">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血常规（五分类）</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1840A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218D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F0D89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2D505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continue"/>
            <w:tcBorders>
              <w:top w:val="single" w:color="000000" w:sz="4" w:space="0"/>
              <w:left w:val="single" w:color="000000" w:sz="4" w:space="0"/>
              <w:bottom w:val="nil"/>
              <w:right w:val="single" w:color="000000" w:sz="4" w:space="0"/>
            </w:tcBorders>
            <w:shd w:val="clear" w:color="auto" w:fill="FFFFFF"/>
            <w:vAlign w:val="center"/>
          </w:tcPr>
          <w:p w14:paraId="7275B301">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237D8D">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尿常规</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96F91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A01BF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A267B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32EC0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continue"/>
            <w:tcBorders>
              <w:top w:val="single" w:color="000000" w:sz="4" w:space="0"/>
              <w:left w:val="single" w:color="000000" w:sz="4" w:space="0"/>
              <w:bottom w:val="nil"/>
              <w:right w:val="single" w:color="000000" w:sz="4" w:space="0"/>
            </w:tcBorders>
            <w:shd w:val="clear" w:color="auto" w:fill="FFFFFF"/>
            <w:vAlign w:val="center"/>
          </w:tcPr>
          <w:p w14:paraId="05BA4002">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14A318">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肝功能十一项</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88283E">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B25D6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75EC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01159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744" w:type="dxa"/>
            <w:vMerge w:val="continue"/>
            <w:tcBorders>
              <w:top w:val="single" w:color="000000" w:sz="4" w:space="0"/>
              <w:left w:val="single" w:color="000000" w:sz="4" w:space="0"/>
              <w:bottom w:val="nil"/>
              <w:right w:val="single" w:color="000000" w:sz="4" w:space="0"/>
            </w:tcBorders>
            <w:shd w:val="clear" w:color="auto" w:fill="FFFFFF"/>
            <w:vAlign w:val="center"/>
          </w:tcPr>
          <w:p w14:paraId="0495C7E9">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881555">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肾功四项</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9AC6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A7D06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B6B9D5">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3D54A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continue"/>
            <w:tcBorders>
              <w:top w:val="single" w:color="000000" w:sz="4" w:space="0"/>
              <w:left w:val="single" w:color="000000" w:sz="4" w:space="0"/>
              <w:bottom w:val="nil"/>
              <w:right w:val="single" w:color="000000" w:sz="4" w:space="0"/>
            </w:tcBorders>
            <w:shd w:val="clear" w:color="auto" w:fill="FFFFFF"/>
            <w:vAlign w:val="center"/>
          </w:tcPr>
          <w:p w14:paraId="6C07A193">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183FEA">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血脂4项</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F09A2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1F845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6E7A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505A3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continue"/>
            <w:tcBorders>
              <w:top w:val="single" w:color="000000" w:sz="4" w:space="0"/>
              <w:left w:val="single" w:color="000000" w:sz="4" w:space="0"/>
              <w:bottom w:val="nil"/>
              <w:right w:val="single" w:color="000000" w:sz="4" w:space="0"/>
            </w:tcBorders>
            <w:shd w:val="clear" w:color="auto" w:fill="FFFFFF"/>
            <w:vAlign w:val="center"/>
          </w:tcPr>
          <w:p w14:paraId="166B6A91">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9500AF">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空腹血糖</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ECB41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692365">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E622D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48603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679477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防癌早筛</w:t>
            </w: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42E98D">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癌胚抗原定量（CEA)</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EB361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9F402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BACBD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39214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2F8D34">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1A64C9">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甲胎蛋白定量(AFP)</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CD9405">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B77D94">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37C449">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r>
      <w:tr w14:paraId="2C9B6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09EBF9">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40FC8">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前列腺特异抗原PSA</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CF73F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971F46">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F64DE3">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r>
      <w:tr w14:paraId="1A47D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731C0A">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75A866">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糖类抗原CA199</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99B33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8BC48E">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67491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54A17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A96785">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205CF7">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糖类抗原CA125</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AB3A68">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FD00C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7F4AF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12455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restart"/>
            <w:tcBorders>
              <w:top w:val="nil"/>
              <w:left w:val="single" w:color="000000" w:sz="4" w:space="0"/>
              <w:bottom w:val="nil"/>
              <w:right w:val="single" w:color="000000" w:sz="4" w:space="0"/>
            </w:tcBorders>
            <w:shd w:val="clear" w:color="auto" w:fill="FFFFFF"/>
            <w:vAlign w:val="center"/>
          </w:tcPr>
          <w:p w14:paraId="1E9055AE">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彩色多普勒脏器全筛</w:t>
            </w:r>
          </w:p>
        </w:tc>
        <w:tc>
          <w:tcPr>
            <w:tcW w:w="2718" w:type="dxa"/>
            <w:tcBorders>
              <w:top w:val="nil"/>
              <w:left w:val="single" w:color="000000" w:sz="4" w:space="0"/>
              <w:bottom w:val="single" w:color="000000" w:sz="4" w:space="0"/>
              <w:right w:val="single" w:color="000000" w:sz="4" w:space="0"/>
            </w:tcBorders>
            <w:shd w:val="clear" w:color="auto" w:fill="FFFFFF"/>
            <w:vAlign w:val="center"/>
          </w:tcPr>
          <w:p w14:paraId="6179101B">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甲状腺及颈部淋巴结彩超</w:t>
            </w:r>
          </w:p>
        </w:tc>
        <w:tc>
          <w:tcPr>
            <w:tcW w:w="1557" w:type="dxa"/>
            <w:tcBorders>
              <w:top w:val="nil"/>
              <w:left w:val="single" w:color="000000" w:sz="4" w:space="0"/>
              <w:bottom w:val="single" w:color="000000" w:sz="4" w:space="0"/>
              <w:right w:val="single" w:color="000000" w:sz="4" w:space="0"/>
            </w:tcBorders>
            <w:shd w:val="clear" w:color="auto" w:fill="FFFFFF"/>
            <w:vAlign w:val="center"/>
          </w:tcPr>
          <w:p w14:paraId="1EED787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nil"/>
              <w:left w:val="single" w:color="000000" w:sz="4" w:space="0"/>
              <w:bottom w:val="single" w:color="000000" w:sz="4" w:space="0"/>
              <w:right w:val="single" w:color="000000" w:sz="4" w:space="0"/>
            </w:tcBorders>
            <w:shd w:val="clear" w:color="auto" w:fill="FFFFFF"/>
            <w:vAlign w:val="center"/>
          </w:tcPr>
          <w:p w14:paraId="738A6BB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nil"/>
              <w:left w:val="single" w:color="000000" w:sz="4" w:space="0"/>
              <w:bottom w:val="single" w:color="000000" w:sz="4" w:space="0"/>
              <w:right w:val="single" w:color="000000" w:sz="4" w:space="0"/>
            </w:tcBorders>
            <w:shd w:val="clear" w:color="auto" w:fill="FFFFFF"/>
            <w:vAlign w:val="center"/>
          </w:tcPr>
          <w:p w14:paraId="4602171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51166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continue"/>
            <w:tcBorders>
              <w:top w:val="nil"/>
              <w:left w:val="single" w:color="000000" w:sz="4" w:space="0"/>
              <w:bottom w:val="nil"/>
              <w:right w:val="single" w:color="000000" w:sz="4" w:space="0"/>
            </w:tcBorders>
            <w:shd w:val="clear" w:color="auto" w:fill="FFFFFF"/>
            <w:vAlign w:val="center"/>
          </w:tcPr>
          <w:p w14:paraId="03DCFF51">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E5935C">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腹部彩超</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B0D51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3526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4EAE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31418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continue"/>
            <w:tcBorders>
              <w:top w:val="nil"/>
              <w:left w:val="single" w:color="000000" w:sz="4" w:space="0"/>
              <w:bottom w:val="nil"/>
              <w:right w:val="single" w:color="000000" w:sz="4" w:space="0"/>
            </w:tcBorders>
            <w:shd w:val="clear" w:color="auto" w:fill="FFFFFF"/>
            <w:vAlign w:val="center"/>
          </w:tcPr>
          <w:p w14:paraId="2E7BAD4B">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885E7E">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泌尿系彩超</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8902AE">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B750A">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D4D8A7">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r>
      <w:tr w14:paraId="70432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continue"/>
            <w:tcBorders>
              <w:top w:val="nil"/>
              <w:left w:val="single" w:color="000000" w:sz="4" w:space="0"/>
              <w:bottom w:val="nil"/>
              <w:right w:val="single" w:color="000000" w:sz="4" w:space="0"/>
            </w:tcBorders>
            <w:shd w:val="clear" w:color="auto" w:fill="FFFFFF"/>
            <w:vAlign w:val="center"/>
          </w:tcPr>
          <w:p w14:paraId="2DE4727E">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3334A8">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彩超（子宫附件）</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DB9953">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E336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6E6F9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6EE15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744" w:type="dxa"/>
            <w:vMerge w:val="continue"/>
            <w:tcBorders>
              <w:top w:val="nil"/>
              <w:left w:val="single" w:color="000000" w:sz="4" w:space="0"/>
              <w:bottom w:val="nil"/>
              <w:right w:val="single" w:color="000000" w:sz="4" w:space="0"/>
            </w:tcBorders>
            <w:shd w:val="clear" w:color="auto" w:fill="FFFFFF"/>
            <w:vAlign w:val="center"/>
          </w:tcPr>
          <w:p w14:paraId="7358B867">
            <w:pPr>
              <w:keepNext/>
              <w:snapToGrid w:val="0"/>
              <w:ind w:left="0" w:leftChars="0" w:right="0" w:rightChars="0" w:firstLine="0" w:firstLineChars="0"/>
              <w:jc w:val="center"/>
              <w:rPr>
                <w:rFonts w:hint="eastAsia" w:ascii="仿宋" w:hAnsi="仿宋" w:eastAsia="仿宋" w:cs="仿宋"/>
                <w:b w:val="0"/>
                <w:bCs w:val="0"/>
                <w:i w:val="0"/>
                <w:iCs w:val="0"/>
                <w:color w:val="000000"/>
                <w:sz w:val="24"/>
                <w:szCs w:val="24"/>
                <w:u w:val="none"/>
              </w:rPr>
            </w:pPr>
          </w:p>
        </w:tc>
        <w:tc>
          <w:tcPr>
            <w:tcW w:w="2718" w:type="dxa"/>
            <w:tcBorders>
              <w:top w:val="single" w:color="000000" w:sz="4" w:space="0"/>
              <w:left w:val="single" w:color="000000" w:sz="4" w:space="0"/>
              <w:bottom w:val="nil"/>
              <w:right w:val="single" w:color="000000" w:sz="4" w:space="0"/>
            </w:tcBorders>
            <w:shd w:val="clear" w:color="auto" w:fill="FFFFFF"/>
            <w:vAlign w:val="center"/>
          </w:tcPr>
          <w:p w14:paraId="4DD8647C">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乳腺及引流区淋巴结</w:t>
            </w:r>
          </w:p>
        </w:tc>
        <w:tc>
          <w:tcPr>
            <w:tcW w:w="1557" w:type="dxa"/>
            <w:tcBorders>
              <w:top w:val="single" w:color="000000" w:sz="4" w:space="0"/>
              <w:left w:val="single" w:color="000000" w:sz="4" w:space="0"/>
              <w:bottom w:val="nil"/>
              <w:right w:val="single" w:color="000000" w:sz="4" w:space="0"/>
            </w:tcBorders>
            <w:shd w:val="clear" w:color="auto" w:fill="FFFFFF"/>
            <w:vAlign w:val="center"/>
          </w:tcPr>
          <w:p w14:paraId="6E61895D">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c>
          <w:tcPr>
            <w:tcW w:w="1706" w:type="dxa"/>
            <w:tcBorders>
              <w:top w:val="single" w:color="000000" w:sz="4" w:space="0"/>
              <w:left w:val="single" w:color="000000" w:sz="4" w:space="0"/>
              <w:bottom w:val="nil"/>
              <w:right w:val="single" w:color="000000" w:sz="4" w:space="0"/>
            </w:tcBorders>
            <w:shd w:val="clear" w:color="auto" w:fill="FFFFFF"/>
            <w:vAlign w:val="center"/>
          </w:tcPr>
          <w:p w14:paraId="0CA3E3B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nil"/>
              <w:right w:val="single" w:color="000000" w:sz="4" w:space="0"/>
            </w:tcBorders>
            <w:shd w:val="clear" w:color="auto" w:fill="FFFFFF"/>
            <w:vAlign w:val="center"/>
          </w:tcPr>
          <w:p w14:paraId="5535211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0A865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74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AE4879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仪器检查</w:t>
            </w: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B843D1">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呼气试验幽门螺杆菌C14</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C3B7C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A3A65">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67408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0A047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CE808C">
            <w:pPr>
              <w:keepNext/>
              <w:snapToGrid w:val="0"/>
              <w:ind w:left="0" w:leftChars="0" w:right="0" w:rightChars="0" w:firstLine="0" w:firstLineChars="0"/>
              <w:jc w:val="center"/>
              <w:rPr>
                <w:rFonts w:hint="eastAsia" w:ascii="仿宋" w:hAnsi="仿宋" w:eastAsia="仿宋" w:cs="仿宋"/>
                <w:b/>
                <w:bCs/>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18202">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经颅多普勒血流图TCD</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8349B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F4FDE5">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A5DD90">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w:t>
            </w:r>
          </w:p>
        </w:tc>
      </w:tr>
      <w:tr w14:paraId="2BDFB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EF77230">
            <w:pPr>
              <w:keepNext/>
              <w:snapToGrid w:val="0"/>
              <w:ind w:left="0" w:leftChars="0" w:right="0" w:rightChars="0" w:firstLine="0" w:firstLineChars="0"/>
              <w:jc w:val="center"/>
              <w:rPr>
                <w:rFonts w:hint="eastAsia" w:ascii="仿宋" w:hAnsi="仿宋" w:eastAsia="仿宋" w:cs="仿宋"/>
                <w:b/>
                <w:bCs/>
                <w:i w:val="0"/>
                <w:iCs w:val="0"/>
                <w:color w:val="000000"/>
                <w:sz w:val="24"/>
                <w:szCs w:val="24"/>
                <w:u w:val="none"/>
              </w:rPr>
            </w:pPr>
          </w:p>
        </w:tc>
        <w:tc>
          <w:tcPr>
            <w:tcW w:w="2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670F95">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心电图</w:t>
            </w:r>
          </w:p>
        </w:tc>
        <w:tc>
          <w:tcPr>
            <w:tcW w:w="1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0B6BA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A579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55F96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1634C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14:paraId="694F762D">
            <w:pPr>
              <w:keepNext/>
              <w:snapToGrid w:val="0"/>
              <w:ind w:left="0" w:leftChars="0" w:right="0" w:rightChars="0" w:firstLine="0" w:firstLineChars="0"/>
              <w:jc w:val="center"/>
              <w:rPr>
                <w:rFonts w:hint="eastAsia" w:ascii="仿宋" w:hAnsi="仿宋" w:eastAsia="仿宋" w:cs="仿宋"/>
                <w:b/>
                <w:bCs/>
                <w:i w:val="0"/>
                <w:iCs w:val="0"/>
                <w:color w:val="000000"/>
                <w:sz w:val="24"/>
                <w:szCs w:val="24"/>
                <w:u w:val="none"/>
              </w:rPr>
            </w:pPr>
          </w:p>
        </w:tc>
        <w:tc>
          <w:tcPr>
            <w:tcW w:w="2718"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EF5FE1A">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颈椎正/侧位</w:t>
            </w:r>
          </w:p>
        </w:tc>
        <w:tc>
          <w:tcPr>
            <w:tcW w:w="1557" w:type="dxa"/>
            <w:tcBorders>
              <w:top w:val="single" w:color="000000" w:sz="4" w:space="0"/>
              <w:left w:val="single" w:color="000000" w:sz="4" w:space="0"/>
              <w:bottom w:val="single" w:color="auto" w:sz="4" w:space="0"/>
              <w:right w:val="single" w:color="000000" w:sz="4" w:space="0"/>
            </w:tcBorders>
            <w:shd w:val="clear" w:color="auto" w:fill="FFFFFF"/>
            <w:vAlign w:val="center"/>
          </w:tcPr>
          <w:p w14:paraId="5BF0E73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706" w:type="dxa"/>
            <w:tcBorders>
              <w:top w:val="single" w:color="000000" w:sz="4" w:space="0"/>
              <w:left w:val="single" w:color="000000" w:sz="4" w:space="0"/>
              <w:bottom w:val="single" w:color="auto" w:sz="4" w:space="0"/>
              <w:right w:val="single" w:color="000000" w:sz="4" w:space="0"/>
            </w:tcBorders>
            <w:shd w:val="clear" w:color="auto" w:fill="FFFFFF"/>
            <w:vAlign w:val="center"/>
          </w:tcPr>
          <w:p w14:paraId="5A6DC08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c>
          <w:tcPr>
            <w:tcW w:w="1682" w:type="dxa"/>
            <w:tcBorders>
              <w:top w:val="single" w:color="000000" w:sz="4" w:space="0"/>
              <w:left w:val="single" w:color="000000" w:sz="4" w:space="0"/>
              <w:bottom w:val="single" w:color="auto" w:sz="4" w:space="0"/>
              <w:right w:val="single" w:color="000000" w:sz="4" w:space="0"/>
            </w:tcBorders>
            <w:shd w:val="clear" w:color="auto" w:fill="FFFFFF"/>
            <w:vAlign w:val="center"/>
          </w:tcPr>
          <w:p w14:paraId="0C7C79C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auto"/>
                <w:kern w:val="0"/>
                <w:sz w:val="24"/>
                <w:szCs w:val="24"/>
                <w:u w:val="none"/>
                <w:lang w:val="en-US" w:eastAsia="zh-CN" w:bidi="ar"/>
              </w:rPr>
            </w:pPr>
          </w:p>
        </w:tc>
      </w:tr>
      <w:tr w14:paraId="0FCF0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44" w:type="dxa"/>
            <w:tcBorders>
              <w:top w:val="single" w:color="auto" w:sz="4" w:space="0"/>
              <w:left w:val="single" w:color="auto" w:sz="4" w:space="0"/>
              <w:bottom w:val="single" w:color="auto" w:sz="4" w:space="0"/>
              <w:right w:val="single" w:color="auto" w:sz="4" w:space="0"/>
            </w:tcBorders>
            <w:shd w:val="clear" w:color="auto" w:fill="auto"/>
            <w:vAlign w:val="center"/>
          </w:tcPr>
          <w:p w14:paraId="69E3C1C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影像检查</w:t>
            </w:r>
          </w:p>
        </w:tc>
        <w:tc>
          <w:tcPr>
            <w:tcW w:w="27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34F87F">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DR胸部正位片</w:t>
            </w:r>
          </w:p>
        </w:tc>
        <w:tc>
          <w:tcPr>
            <w:tcW w:w="1557" w:type="dxa"/>
            <w:tcBorders>
              <w:top w:val="single" w:color="auto" w:sz="4" w:space="0"/>
              <w:left w:val="single" w:color="auto" w:sz="4" w:space="0"/>
              <w:bottom w:val="single" w:color="auto" w:sz="4" w:space="0"/>
              <w:right w:val="single" w:color="auto" w:sz="4" w:space="0"/>
            </w:tcBorders>
            <w:shd w:val="clear" w:color="auto" w:fill="auto"/>
            <w:vAlign w:val="center"/>
          </w:tcPr>
          <w:p w14:paraId="784E066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14:paraId="55D3C1B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682" w:type="dxa"/>
            <w:tcBorders>
              <w:top w:val="single" w:color="auto" w:sz="4" w:space="0"/>
              <w:left w:val="single" w:color="auto" w:sz="4" w:space="0"/>
              <w:bottom w:val="single" w:color="auto" w:sz="4" w:space="0"/>
              <w:right w:val="single" w:color="auto" w:sz="4" w:space="0"/>
            </w:tcBorders>
            <w:shd w:val="clear" w:color="auto" w:fill="auto"/>
            <w:vAlign w:val="center"/>
          </w:tcPr>
          <w:p w14:paraId="5BA6912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735AE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4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0E3DD1">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分项合计</w:t>
            </w:r>
          </w:p>
        </w:tc>
        <w:tc>
          <w:tcPr>
            <w:tcW w:w="1557" w:type="dxa"/>
            <w:tcBorders>
              <w:top w:val="single" w:color="auto" w:sz="4" w:space="0"/>
              <w:left w:val="single" w:color="auto" w:sz="4" w:space="0"/>
              <w:bottom w:val="single" w:color="auto" w:sz="4" w:space="0"/>
              <w:right w:val="single" w:color="auto" w:sz="4" w:space="0"/>
            </w:tcBorders>
            <w:shd w:val="clear" w:color="auto" w:fill="auto"/>
            <w:vAlign w:val="center"/>
          </w:tcPr>
          <w:p w14:paraId="09220C41">
            <w:pPr>
              <w:keepNext/>
              <w:keepLines w:val="0"/>
              <w:widowControl/>
              <w:suppressLineNumbers w:val="0"/>
              <w:snapToGrid w:val="0"/>
              <w:ind w:left="0" w:leftChars="0" w:right="0" w:rightChars="0" w:firstLine="0" w:firstLineChars="0"/>
              <w:jc w:val="center"/>
              <w:textAlignment w:val="center"/>
              <w:rPr>
                <w:rFonts w:hint="default" w:ascii="Arial" w:hAnsi="Arial" w:eastAsia="仿宋" w:cs="Arial"/>
                <w:i w:val="0"/>
                <w:iCs w:val="0"/>
                <w:color w:val="auto"/>
                <w:kern w:val="0"/>
                <w:sz w:val="24"/>
                <w:szCs w:val="24"/>
                <w:u w:val="none"/>
                <w:lang w:val="en-US" w:eastAsia="zh-CN" w:bidi="ar"/>
              </w:rPr>
            </w:pP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14:paraId="0997231E">
            <w:pPr>
              <w:keepNext/>
              <w:keepLines w:val="0"/>
              <w:widowControl/>
              <w:suppressLineNumbers w:val="0"/>
              <w:snapToGrid w:val="0"/>
              <w:ind w:left="0" w:leftChars="0" w:right="0" w:rightChars="0" w:firstLine="0" w:firstLineChars="0"/>
              <w:jc w:val="center"/>
              <w:textAlignment w:val="center"/>
              <w:rPr>
                <w:rFonts w:hint="default" w:ascii="Arial" w:hAnsi="Arial" w:eastAsia="仿宋" w:cs="Arial"/>
                <w:i w:val="0"/>
                <w:iCs w:val="0"/>
                <w:color w:val="auto"/>
                <w:kern w:val="0"/>
                <w:sz w:val="24"/>
                <w:szCs w:val="24"/>
                <w:u w:val="none"/>
                <w:lang w:val="en-US" w:eastAsia="zh-CN" w:bidi="ar"/>
              </w:rPr>
            </w:pPr>
          </w:p>
        </w:tc>
        <w:tc>
          <w:tcPr>
            <w:tcW w:w="1682" w:type="dxa"/>
            <w:tcBorders>
              <w:top w:val="single" w:color="auto" w:sz="4" w:space="0"/>
              <w:left w:val="single" w:color="auto" w:sz="4" w:space="0"/>
              <w:bottom w:val="single" w:color="auto" w:sz="4" w:space="0"/>
              <w:right w:val="single" w:color="auto" w:sz="4" w:space="0"/>
            </w:tcBorders>
            <w:shd w:val="clear" w:color="auto" w:fill="auto"/>
            <w:vAlign w:val="center"/>
          </w:tcPr>
          <w:p w14:paraId="34736018">
            <w:pPr>
              <w:keepNext/>
              <w:keepLines w:val="0"/>
              <w:widowControl/>
              <w:suppressLineNumbers w:val="0"/>
              <w:snapToGrid w:val="0"/>
              <w:ind w:left="0" w:leftChars="0" w:right="0" w:rightChars="0" w:firstLine="0" w:firstLineChars="0"/>
              <w:jc w:val="center"/>
              <w:textAlignment w:val="center"/>
              <w:rPr>
                <w:rFonts w:hint="default" w:ascii="Arial" w:hAnsi="Arial" w:eastAsia="仿宋" w:cs="Arial"/>
                <w:i w:val="0"/>
                <w:iCs w:val="0"/>
                <w:color w:val="auto"/>
                <w:kern w:val="0"/>
                <w:sz w:val="24"/>
                <w:szCs w:val="24"/>
                <w:u w:val="none"/>
                <w:lang w:val="en-US" w:eastAsia="zh-CN" w:bidi="ar"/>
              </w:rPr>
            </w:pPr>
          </w:p>
        </w:tc>
      </w:tr>
      <w:tr w14:paraId="45D15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44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2C6924">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体检人数</w:t>
            </w:r>
          </w:p>
        </w:tc>
        <w:tc>
          <w:tcPr>
            <w:tcW w:w="1557" w:type="dxa"/>
            <w:tcBorders>
              <w:top w:val="single" w:color="auto" w:sz="4" w:space="0"/>
              <w:left w:val="single" w:color="auto" w:sz="4" w:space="0"/>
              <w:bottom w:val="single" w:color="auto" w:sz="4" w:space="0"/>
              <w:right w:val="single" w:color="auto" w:sz="4" w:space="0"/>
            </w:tcBorders>
            <w:shd w:val="clear" w:color="auto" w:fill="auto"/>
            <w:vAlign w:val="center"/>
          </w:tcPr>
          <w:p w14:paraId="40AA6B7F">
            <w:pPr>
              <w:keepNext/>
              <w:keepLines w:val="0"/>
              <w:widowControl/>
              <w:suppressLineNumbers w:val="0"/>
              <w:snapToGrid w:val="0"/>
              <w:ind w:left="0" w:leftChars="0" w:right="0" w:rightChars="0" w:firstLine="0" w:firstLineChars="0"/>
              <w:jc w:val="center"/>
              <w:textAlignment w:val="center"/>
              <w:rPr>
                <w:rFonts w:hint="default" w:ascii="Arial" w:hAnsi="Arial" w:eastAsia="仿宋" w:cs="Arial"/>
                <w:i w:val="0"/>
                <w:iCs w:val="0"/>
                <w:color w:val="auto"/>
                <w:kern w:val="0"/>
                <w:sz w:val="24"/>
                <w:szCs w:val="24"/>
                <w:u w:val="none"/>
                <w:lang w:val="en-US" w:eastAsia="zh-CN" w:bidi="ar"/>
              </w:rPr>
            </w:pP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14:paraId="09740C4B">
            <w:pPr>
              <w:keepNext/>
              <w:keepLines w:val="0"/>
              <w:widowControl/>
              <w:suppressLineNumbers w:val="0"/>
              <w:snapToGrid w:val="0"/>
              <w:ind w:left="0" w:leftChars="0" w:right="0" w:rightChars="0" w:firstLine="0" w:firstLineChars="0"/>
              <w:jc w:val="center"/>
              <w:textAlignment w:val="center"/>
              <w:rPr>
                <w:rFonts w:hint="default" w:ascii="Arial" w:hAnsi="Arial" w:eastAsia="仿宋" w:cs="Arial"/>
                <w:i w:val="0"/>
                <w:iCs w:val="0"/>
                <w:color w:val="auto"/>
                <w:kern w:val="0"/>
                <w:sz w:val="24"/>
                <w:szCs w:val="24"/>
                <w:u w:val="none"/>
                <w:lang w:val="en-US" w:eastAsia="zh-CN" w:bidi="ar"/>
              </w:rPr>
            </w:pPr>
          </w:p>
        </w:tc>
        <w:tc>
          <w:tcPr>
            <w:tcW w:w="1682" w:type="dxa"/>
            <w:tcBorders>
              <w:top w:val="single" w:color="auto" w:sz="4" w:space="0"/>
              <w:left w:val="single" w:color="auto" w:sz="4" w:space="0"/>
              <w:bottom w:val="single" w:color="auto" w:sz="4" w:space="0"/>
              <w:right w:val="single" w:color="auto" w:sz="4" w:space="0"/>
            </w:tcBorders>
            <w:shd w:val="clear" w:color="auto" w:fill="auto"/>
            <w:vAlign w:val="center"/>
          </w:tcPr>
          <w:p w14:paraId="2272870F">
            <w:pPr>
              <w:keepNext/>
              <w:keepLines w:val="0"/>
              <w:widowControl/>
              <w:suppressLineNumbers w:val="0"/>
              <w:snapToGrid w:val="0"/>
              <w:ind w:left="0" w:leftChars="0" w:right="0" w:rightChars="0" w:firstLine="0" w:firstLineChars="0"/>
              <w:jc w:val="center"/>
              <w:textAlignment w:val="center"/>
              <w:rPr>
                <w:rFonts w:hint="default" w:ascii="Arial" w:hAnsi="Arial" w:eastAsia="仿宋" w:cs="Arial"/>
                <w:i w:val="0"/>
                <w:iCs w:val="0"/>
                <w:color w:val="auto"/>
                <w:kern w:val="0"/>
                <w:sz w:val="24"/>
                <w:szCs w:val="24"/>
                <w:u w:val="none"/>
                <w:lang w:val="en-US" w:eastAsia="zh-CN" w:bidi="ar"/>
              </w:rPr>
            </w:pPr>
          </w:p>
        </w:tc>
      </w:tr>
      <w:tr w14:paraId="6AED2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4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9B37FC">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总报价</w:t>
            </w:r>
          </w:p>
        </w:tc>
        <w:tc>
          <w:tcPr>
            <w:tcW w:w="494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EA96196">
            <w:pPr>
              <w:keepNext/>
              <w:keepLines w:val="0"/>
              <w:widowControl/>
              <w:suppressLineNumbers w:val="0"/>
              <w:snapToGrid w:val="0"/>
              <w:ind w:left="0" w:leftChars="0" w:right="0" w:rightChars="0" w:firstLine="0" w:firstLineChars="0"/>
              <w:jc w:val="center"/>
              <w:textAlignment w:val="center"/>
              <w:rPr>
                <w:rFonts w:hint="default" w:ascii="Arial" w:hAnsi="Arial" w:eastAsia="仿宋" w:cs="Arial"/>
                <w:i w:val="0"/>
                <w:iCs w:val="0"/>
                <w:color w:val="auto"/>
                <w:kern w:val="0"/>
                <w:sz w:val="24"/>
                <w:szCs w:val="24"/>
                <w:u w:val="none"/>
                <w:lang w:val="en-US" w:eastAsia="zh-CN" w:bidi="ar"/>
              </w:rPr>
            </w:pPr>
          </w:p>
        </w:tc>
      </w:tr>
    </w:tbl>
    <w:p w14:paraId="73DFD4C4"/>
    <w:p w14:paraId="3FEF930B"/>
    <w:p w14:paraId="5F9CFEC4"/>
    <w:sectPr>
      <w:footerReference r:id="rId3"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28E0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7923B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7923B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16A42"/>
    <w:rsid w:val="1AE70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2501</Words>
  <Characters>2554</Characters>
  <Lines>0</Lines>
  <Paragraphs>0</Paragraphs>
  <TotalTime>0</TotalTime>
  <ScaleCrop>false</ScaleCrop>
  <LinksUpToDate>false</LinksUpToDate>
  <CharactersWithSpaces>2827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2026-08-20T11:22:00Z</dcterms:created>
  <dc:creator>PC</dc:creator>
  <cp:lastModifiedBy>王小臭</cp:lastModifiedBy>
  <dcterms:modified xsi:type="dcterms:W3CDTF">2026-08-20T13:54:21Z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eyJoZGlkIjoiYTc2ZGZiNzZiNDVlOGViOWVmM2JhOTY0NGJkNjUyYzgiLCJ1c2VySWQiOiI2NjgyMTAyNjYifQ==</vt:lpwstr>
  </property>
  <property fmtid="{D5CDD505-2E9C-101B-9397-08002B2CF9AE}" pid="4" name="ICV">
    <vt:lpwstr>C3643C60761542148205584BBAF6333B_12</vt:lpwstr>
  </property>
</Properties>
</file>